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A61" w:rsidRDefault="00CA4A61" w:rsidP="00DF3826">
      <w:pPr>
        <w:tabs>
          <w:tab w:val="left" w:pos="7380"/>
        </w:tabs>
        <w:jc w:val="center"/>
        <w:rPr>
          <w:b/>
          <w:bCs/>
        </w:rPr>
      </w:pPr>
      <w:r>
        <w:rPr>
          <w:b/>
          <w:bCs/>
        </w:rPr>
        <w:t>UNITED STATES DISTRICT COURT</w:t>
      </w:r>
    </w:p>
    <w:p w:rsidR="00CA4A61" w:rsidRDefault="00CA4A61" w:rsidP="00CA4A61">
      <w:pPr>
        <w:jc w:val="center"/>
        <w:rPr>
          <w:b/>
          <w:bCs/>
        </w:rPr>
      </w:pPr>
      <w:r>
        <w:rPr>
          <w:b/>
          <w:bCs/>
        </w:rPr>
        <w:t>SOUTHERN DISTRICT OF FLORIDA</w:t>
      </w:r>
    </w:p>
    <w:p w:rsidR="006A5FC7" w:rsidRDefault="006A5FC7" w:rsidP="00CA4A61">
      <w:pPr>
        <w:jc w:val="center"/>
        <w:rPr>
          <w:b/>
          <w:bCs/>
        </w:rPr>
      </w:pPr>
    </w:p>
    <w:p w:rsidR="00115DA7" w:rsidRDefault="00CA4A61" w:rsidP="00CA4A61">
      <w:pPr>
        <w:jc w:val="center"/>
        <w:rPr>
          <w:b/>
          <w:bCs/>
        </w:rPr>
      </w:pPr>
      <w:r>
        <w:rPr>
          <w:b/>
          <w:bCs/>
        </w:rPr>
        <w:t>1</w:t>
      </w:r>
      <w:r w:rsidR="00C4775F">
        <w:rPr>
          <w:b/>
          <w:bCs/>
        </w:rPr>
        <w:t>8</w:t>
      </w:r>
      <w:r>
        <w:rPr>
          <w:b/>
          <w:bCs/>
        </w:rPr>
        <w:t>-</w:t>
      </w:r>
      <w:r w:rsidR="004539F4">
        <w:rPr>
          <w:b/>
          <w:bCs/>
        </w:rPr>
        <w:t xml:space="preserve"> </w:t>
      </w:r>
      <w:r w:rsidR="0021044F">
        <w:rPr>
          <w:b/>
          <w:bCs/>
        </w:rPr>
        <w:t>-</w:t>
      </w:r>
      <w:r>
        <w:rPr>
          <w:b/>
          <w:bCs/>
        </w:rPr>
        <w:t>CR-ROSENBERG/</w:t>
      </w:r>
      <w:r w:rsidR="00400255">
        <w:rPr>
          <w:b/>
          <w:bCs/>
        </w:rPr>
        <w:t>REINHART</w:t>
      </w:r>
      <w:r w:rsidR="009E3409">
        <w:rPr>
          <w:b/>
          <w:bCs/>
        </w:rPr>
        <w:t xml:space="preserve"> </w:t>
      </w:r>
    </w:p>
    <w:p w:rsidR="00CA4A61" w:rsidRDefault="00CA4A61" w:rsidP="00CA4A61">
      <w:pPr>
        <w:jc w:val="center"/>
      </w:pPr>
    </w:p>
    <w:p w:rsidR="00CA4A61" w:rsidRDefault="00CA4A61" w:rsidP="00CA4A61">
      <w:pPr>
        <w:jc w:val="center"/>
      </w:pPr>
    </w:p>
    <w:p w:rsidR="00CA4A61" w:rsidRDefault="00CA4A61" w:rsidP="00CA4A61">
      <w:pPr>
        <w:jc w:val="both"/>
      </w:pPr>
      <w:r>
        <w:t>UNITED STATES OF AMERICA,</w:t>
      </w:r>
    </w:p>
    <w:p w:rsidR="00FF7685" w:rsidRDefault="00FF7685" w:rsidP="00CA4A61">
      <w:pPr>
        <w:ind w:firstLine="1440"/>
        <w:jc w:val="both"/>
      </w:pPr>
    </w:p>
    <w:p w:rsidR="00CA4A61" w:rsidRDefault="00CA4A61" w:rsidP="00CA4A61">
      <w:pPr>
        <w:ind w:firstLine="1440"/>
        <w:jc w:val="both"/>
      </w:pPr>
      <w:r>
        <w:t>Plaintiff,</w:t>
      </w:r>
    </w:p>
    <w:p w:rsidR="00CA4A61" w:rsidRDefault="00CA4A61" w:rsidP="00CA4A61">
      <w:pPr>
        <w:jc w:val="both"/>
      </w:pPr>
      <w:r>
        <w:t>v.</w:t>
      </w:r>
    </w:p>
    <w:p w:rsidR="003A49BB" w:rsidRDefault="003A49BB" w:rsidP="00CA4A61">
      <w:pPr>
        <w:jc w:val="both"/>
      </w:pPr>
    </w:p>
    <w:p w:rsidR="003A080D" w:rsidRDefault="00646E75" w:rsidP="00CA4A61">
      <w:pPr>
        <w:jc w:val="both"/>
      </w:pPr>
      <w:r>
        <w:t xml:space="preserve">                                                   </w:t>
      </w:r>
    </w:p>
    <w:p w:rsidR="00FF7685" w:rsidRDefault="0095583D" w:rsidP="00CA4A61">
      <w:pPr>
        <w:jc w:val="both"/>
      </w:pPr>
      <w:r>
        <w:t>,</w:t>
      </w:r>
    </w:p>
    <w:p w:rsidR="00CA4A61" w:rsidRDefault="00CA4A61" w:rsidP="00CA4A61">
      <w:pPr>
        <w:ind w:firstLine="1440"/>
        <w:jc w:val="both"/>
      </w:pPr>
      <w:r>
        <w:t>Defendant(s).</w:t>
      </w:r>
    </w:p>
    <w:p w:rsidR="00CA4A61" w:rsidRDefault="00CA4A61" w:rsidP="002A5624">
      <w:pPr>
        <w:jc w:val="both"/>
      </w:pPr>
      <w:r>
        <w:rPr>
          <w:u w:val="single"/>
        </w:rPr>
        <w:t xml:space="preserve">                                                         </w:t>
      </w:r>
      <w:r>
        <w:t>/</w:t>
      </w:r>
    </w:p>
    <w:p w:rsidR="002A5624" w:rsidRDefault="002A5624" w:rsidP="002A5624">
      <w:pPr>
        <w:jc w:val="both"/>
      </w:pPr>
    </w:p>
    <w:p w:rsidR="00FF7685" w:rsidRDefault="00CA4A61" w:rsidP="00CA4A61">
      <w:pPr>
        <w:tabs>
          <w:tab w:val="center" w:pos="4680"/>
        </w:tabs>
        <w:jc w:val="center"/>
        <w:rPr>
          <w:b/>
          <w:bCs/>
          <w:u w:val="single"/>
        </w:rPr>
      </w:pPr>
      <w:r>
        <w:rPr>
          <w:b/>
          <w:bCs/>
          <w:u w:val="single"/>
        </w:rPr>
        <w:t>ORDER SETTING TRIAL DATE</w:t>
      </w:r>
      <w:r w:rsidR="009A10E8">
        <w:rPr>
          <w:b/>
          <w:bCs/>
          <w:u w:val="single"/>
        </w:rPr>
        <w:t xml:space="preserve"> AND TRIAL PROCEDURES</w:t>
      </w:r>
    </w:p>
    <w:p w:rsidR="00CA4A61" w:rsidRDefault="00CA4A61" w:rsidP="00CA4A61">
      <w:pPr>
        <w:jc w:val="both"/>
      </w:pPr>
    </w:p>
    <w:p w:rsidR="00FE357A" w:rsidRPr="00541866" w:rsidRDefault="006403D9" w:rsidP="00541866">
      <w:pPr>
        <w:spacing w:before="100" w:after="100" w:line="360" w:lineRule="auto"/>
        <w:ind w:firstLine="720"/>
        <w:jc w:val="both"/>
        <w:rPr>
          <w:b/>
          <w:bCs/>
        </w:rPr>
      </w:pPr>
      <w:r>
        <w:rPr>
          <w:rFonts w:eastAsia="Calibri"/>
        </w:rPr>
        <w:t>This matter</w:t>
      </w:r>
      <w:r w:rsidR="00CA4A61">
        <w:rPr>
          <w:rFonts w:eastAsia="Calibri"/>
        </w:rPr>
        <w:t xml:space="preserve"> is set for </w:t>
      </w:r>
      <w:r w:rsidR="00AB3B55">
        <w:rPr>
          <w:rFonts w:eastAsia="Calibri"/>
        </w:rPr>
        <w:t xml:space="preserve">a </w:t>
      </w:r>
      <w:r w:rsidR="00AB3B55" w:rsidRPr="00352B3B">
        <w:rPr>
          <w:rFonts w:eastAsia="Calibri"/>
          <w:b/>
        </w:rPr>
        <w:t>criminal jury t</w:t>
      </w:r>
      <w:r w:rsidR="00CA4A61" w:rsidRPr="00352B3B">
        <w:rPr>
          <w:rFonts w:eastAsia="Calibri"/>
          <w:b/>
        </w:rPr>
        <w:t>rial</w:t>
      </w:r>
      <w:r w:rsidR="00CA4A61">
        <w:rPr>
          <w:rFonts w:eastAsia="Calibri"/>
        </w:rPr>
        <w:t xml:space="preserve"> before the </w:t>
      </w:r>
      <w:r w:rsidR="00CA4A61" w:rsidRPr="00EC02FF">
        <w:rPr>
          <w:rFonts w:eastAsia="Calibri"/>
        </w:rPr>
        <w:t xml:space="preserve">Honorable </w:t>
      </w:r>
      <w:r w:rsidR="00CA4A61">
        <w:rPr>
          <w:rFonts w:eastAsia="Calibri"/>
        </w:rPr>
        <w:t>Robin L. Rosenberg</w:t>
      </w:r>
      <w:r w:rsidR="00CA4A61" w:rsidRPr="00EC02FF">
        <w:rPr>
          <w:rFonts w:eastAsia="Calibri"/>
        </w:rPr>
        <w:t>, United States District Judge, at United States District Court</w:t>
      </w:r>
      <w:r w:rsidR="0018011A">
        <w:rPr>
          <w:rFonts w:eastAsia="Calibri"/>
        </w:rPr>
        <w:t xml:space="preserve"> </w:t>
      </w:r>
      <w:r w:rsidR="0061693C" w:rsidRPr="00613DC4">
        <w:rPr>
          <w:rFonts w:eastAsia="Calibri"/>
          <w:b/>
        </w:rPr>
        <w:t xml:space="preserve">701 Clematis Street, Courtroom 2 on the Fourth Floor, </w:t>
      </w:r>
      <w:r w:rsidR="0061693C" w:rsidRPr="0061693C">
        <w:rPr>
          <w:rFonts w:eastAsia="Calibri"/>
          <w:b/>
          <w:bCs/>
          <w:iCs/>
        </w:rPr>
        <w:t>West Palm Beach, Florida</w:t>
      </w:r>
      <w:r w:rsidR="00AA18B1">
        <w:rPr>
          <w:rFonts w:eastAsia="Calibri"/>
          <w:b/>
        </w:rPr>
        <w:t xml:space="preserve">, </w:t>
      </w:r>
      <w:r w:rsidR="00CA4A61" w:rsidRPr="00EC02FF">
        <w:rPr>
          <w:rFonts w:eastAsia="Calibri"/>
        </w:rPr>
        <w:t xml:space="preserve">during the </w:t>
      </w:r>
      <w:r w:rsidR="00646E75">
        <w:rPr>
          <w:rFonts w:eastAsia="Calibri"/>
        </w:rPr>
        <w:t>two</w:t>
      </w:r>
      <w:r w:rsidR="009E3409">
        <w:rPr>
          <w:rFonts w:eastAsia="Calibri"/>
        </w:rPr>
        <w:t>-week</w:t>
      </w:r>
      <w:r w:rsidR="00CA4A61" w:rsidRPr="00EC02FF">
        <w:rPr>
          <w:rFonts w:eastAsia="Calibri"/>
        </w:rPr>
        <w:t xml:space="preserve"> period </w:t>
      </w:r>
      <w:r w:rsidR="00CA4A61" w:rsidRPr="00F414E1">
        <w:rPr>
          <w:rFonts w:eastAsia="Calibri"/>
        </w:rPr>
        <w:t>commencing</w:t>
      </w:r>
      <w:r w:rsidR="00CA4A61">
        <w:rPr>
          <w:rFonts w:eastAsia="Calibri"/>
          <w:b/>
        </w:rPr>
        <w:t xml:space="preserve"> </w:t>
      </w:r>
      <w:r w:rsidR="001F658B">
        <w:rPr>
          <w:rFonts w:eastAsia="Calibri"/>
          <w:b/>
        </w:rPr>
        <w:t>Monday</w:t>
      </w:r>
      <w:r w:rsidR="00CA4A61">
        <w:rPr>
          <w:rFonts w:eastAsia="Calibri"/>
          <w:b/>
        </w:rPr>
        <w:t>,</w:t>
      </w:r>
      <w:r w:rsidR="00CA4A61" w:rsidRPr="00EC02FF">
        <w:rPr>
          <w:rFonts w:eastAsia="Calibri"/>
          <w:b/>
        </w:rPr>
        <w:t xml:space="preserve"> </w:t>
      </w:r>
      <w:r w:rsidR="000F7493">
        <w:rPr>
          <w:rFonts w:eastAsia="Calibri"/>
          <w:b/>
        </w:rPr>
        <w:t>March</w:t>
      </w:r>
      <w:r w:rsidR="00B90841">
        <w:rPr>
          <w:rFonts w:eastAsia="Calibri"/>
          <w:b/>
        </w:rPr>
        <w:t xml:space="preserve"> </w:t>
      </w:r>
      <w:r w:rsidR="00B0263D">
        <w:rPr>
          <w:rFonts w:eastAsia="Calibri"/>
          <w:b/>
        </w:rPr>
        <w:t>18</w:t>
      </w:r>
      <w:r w:rsidR="00D44BB1">
        <w:rPr>
          <w:rFonts w:eastAsia="Calibri"/>
          <w:b/>
        </w:rPr>
        <w:t>,</w:t>
      </w:r>
      <w:r w:rsidR="00CA4A61" w:rsidRPr="00EC02FF">
        <w:rPr>
          <w:rFonts w:eastAsia="Calibri"/>
          <w:b/>
        </w:rPr>
        <w:t xml:space="preserve"> 201</w:t>
      </w:r>
      <w:r w:rsidR="00441675">
        <w:rPr>
          <w:rFonts w:eastAsia="Calibri"/>
          <w:b/>
        </w:rPr>
        <w:t>9</w:t>
      </w:r>
      <w:r w:rsidR="00CA4A61" w:rsidRPr="00EC02FF">
        <w:rPr>
          <w:rFonts w:eastAsia="Calibri"/>
          <w:b/>
        </w:rPr>
        <w:t xml:space="preserve"> at 9:</w:t>
      </w:r>
      <w:r w:rsidR="00EE3A68">
        <w:rPr>
          <w:rFonts w:eastAsia="Calibri"/>
          <w:b/>
        </w:rPr>
        <w:t>0</w:t>
      </w:r>
      <w:r w:rsidR="00352B3B">
        <w:rPr>
          <w:rFonts w:eastAsia="Calibri"/>
          <w:b/>
        </w:rPr>
        <w:t xml:space="preserve">0 </w:t>
      </w:r>
      <w:proofErr w:type="spellStart"/>
      <w:r w:rsidR="00352B3B">
        <w:rPr>
          <w:rFonts w:eastAsia="Calibri"/>
          <w:b/>
        </w:rPr>
        <w:t>a.m</w:t>
      </w:r>
      <w:proofErr w:type="spellEnd"/>
      <w:r w:rsidR="00CA4A61" w:rsidRPr="00EC02FF">
        <w:rPr>
          <w:rFonts w:eastAsia="Calibri"/>
          <w:b/>
        </w:rPr>
        <w:t>,</w:t>
      </w:r>
      <w:r w:rsidR="00CA4A61" w:rsidRPr="00EC02FF">
        <w:rPr>
          <w:rFonts w:eastAsia="Calibri"/>
        </w:rPr>
        <w:t xml:space="preserve"> or as soon thereafter as the case may be called.</w:t>
      </w:r>
      <w:r w:rsidR="00CA4A61" w:rsidRPr="002834B3">
        <w:t xml:space="preserve"> </w:t>
      </w:r>
      <w:r w:rsidR="00984035">
        <w:t>A</w:t>
      </w:r>
      <w:r w:rsidR="00CA4A61">
        <w:t xml:space="preserve"> </w:t>
      </w:r>
      <w:r w:rsidR="00CA6E6A" w:rsidRPr="00CA6E6A">
        <w:rPr>
          <w:b/>
        </w:rPr>
        <w:t>Status Conference/</w:t>
      </w:r>
      <w:r w:rsidR="00EE3A68" w:rsidRPr="00CA6E6A">
        <w:rPr>
          <w:b/>
          <w:bCs/>
        </w:rPr>
        <w:t>Calendar</w:t>
      </w:r>
      <w:r w:rsidR="002E40DD">
        <w:rPr>
          <w:b/>
          <w:bCs/>
        </w:rPr>
        <w:t xml:space="preserve"> Call </w:t>
      </w:r>
      <w:r w:rsidR="002E40DD" w:rsidRPr="00984035">
        <w:rPr>
          <w:bCs/>
        </w:rPr>
        <w:t>will be held on</w:t>
      </w:r>
      <w:r w:rsidR="002E40DD">
        <w:rPr>
          <w:b/>
          <w:bCs/>
        </w:rPr>
        <w:t xml:space="preserve"> Wednesday, </w:t>
      </w:r>
      <w:r w:rsidR="00B0263D">
        <w:rPr>
          <w:b/>
          <w:bCs/>
        </w:rPr>
        <w:t>March</w:t>
      </w:r>
      <w:r w:rsidR="00B355D2">
        <w:rPr>
          <w:b/>
          <w:bCs/>
        </w:rPr>
        <w:t xml:space="preserve"> </w:t>
      </w:r>
      <w:r w:rsidR="00B0263D">
        <w:rPr>
          <w:b/>
          <w:bCs/>
        </w:rPr>
        <w:t>13</w:t>
      </w:r>
      <w:r w:rsidR="00931815">
        <w:rPr>
          <w:b/>
          <w:bCs/>
        </w:rPr>
        <w:t>,</w:t>
      </w:r>
      <w:r w:rsidR="00EE3A68">
        <w:rPr>
          <w:b/>
          <w:bCs/>
        </w:rPr>
        <w:t xml:space="preserve"> 201</w:t>
      </w:r>
      <w:r w:rsidR="00441675">
        <w:rPr>
          <w:b/>
          <w:bCs/>
        </w:rPr>
        <w:t>9</w:t>
      </w:r>
      <w:r w:rsidR="00F414E1">
        <w:rPr>
          <w:b/>
          <w:bCs/>
        </w:rPr>
        <w:t xml:space="preserve"> at 9:00 a.m.</w:t>
      </w:r>
      <w:r w:rsidR="00EE3A68">
        <w:rPr>
          <w:b/>
          <w:bCs/>
        </w:rPr>
        <w:t xml:space="preserve"> </w:t>
      </w:r>
      <w:r w:rsidR="00EE3A68">
        <w:rPr>
          <w:bCs/>
        </w:rPr>
        <w:t>at the United States District Court</w:t>
      </w:r>
      <w:r w:rsidR="00E3148C" w:rsidRPr="00613DC4">
        <w:rPr>
          <w:rFonts w:eastAsia="Calibri"/>
          <w:b/>
        </w:rPr>
        <w:t>,</w:t>
      </w:r>
      <w:r w:rsidR="00200A1E" w:rsidRPr="00200A1E">
        <w:rPr>
          <w:rFonts w:eastAsia="Calibri"/>
          <w:b/>
        </w:rPr>
        <w:t xml:space="preserve"> </w:t>
      </w:r>
      <w:r w:rsidR="00200A1E" w:rsidRPr="00613DC4">
        <w:rPr>
          <w:rFonts w:eastAsia="Calibri"/>
          <w:b/>
        </w:rPr>
        <w:t xml:space="preserve">701 Clematis Street, Courtroom 2 on the Fourth Floor, </w:t>
      </w:r>
      <w:r w:rsidR="00200A1E" w:rsidRPr="0061693C">
        <w:rPr>
          <w:rFonts w:eastAsia="Calibri"/>
          <w:b/>
          <w:bCs/>
          <w:iCs/>
        </w:rPr>
        <w:t>West Palm Beach, Florida</w:t>
      </w:r>
      <w:r w:rsidR="00E3148C">
        <w:rPr>
          <w:rFonts w:eastAsia="Calibri"/>
          <w:b/>
        </w:rPr>
        <w:t>.</w:t>
      </w:r>
    </w:p>
    <w:p w:rsidR="00CA4A61" w:rsidRPr="00A34208" w:rsidRDefault="00CA4A61" w:rsidP="00CA4A61">
      <w:pPr>
        <w:spacing w:line="360" w:lineRule="auto"/>
        <w:ind w:firstLine="720"/>
        <w:contextualSpacing/>
        <w:jc w:val="both"/>
        <w:rPr>
          <w:bCs/>
        </w:rPr>
      </w:pPr>
      <w:r w:rsidRPr="00A34208">
        <w:rPr>
          <w:bCs/>
        </w:rPr>
        <w:t xml:space="preserve">Counsel who wish to appear via telephone shall call the toll-free number 1-877-873-8018 from a landline phone, five (5) minutes prior to the start of the </w:t>
      </w:r>
      <w:r w:rsidR="00885A05" w:rsidRPr="00A34208">
        <w:rPr>
          <w:bCs/>
        </w:rPr>
        <w:t>Status Conference/Calendar C</w:t>
      </w:r>
      <w:r w:rsidRPr="00A34208">
        <w:rPr>
          <w:bCs/>
        </w:rPr>
        <w:t>all.</w:t>
      </w:r>
    </w:p>
    <w:p w:rsidR="00CA4A61" w:rsidRDefault="00CA4A61" w:rsidP="00CA4A61">
      <w:pPr>
        <w:spacing w:line="360" w:lineRule="auto"/>
        <w:ind w:firstLine="720"/>
        <w:contextualSpacing/>
        <w:jc w:val="both"/>
        <w:rPr>
          <w:bCs/>
        </w:rPr>
      </w:pPr>
      <w:r>
        <w:rPr>
          <w:bCs/>
        </w:rPr>
        <w:t>a.</w:t>
      </w:r>
      <w:r>
        <w:rPr>
          <w:bCs/>
        </w:rPr>
        <w:tab/>
        <w:t>Enter Access Code Number 9890482 followed by the # sign,</w:t>
      </w:r>
    </w:p>
    <w:p w:rsidR="00CA4A61" w:rsidRDefault="00CA4A61" w:rsidP="00CA4A61">
      <w:pPr>
        <w:spacing w:line="360" w:lineRule="auto"/>
        <w:ind w:firstLine="720"/>
        <w:contextualSpacing/>
        <w:jc w:val="both"/>
        <w:rPr>
          <w:bCs/>
        </w:rPr>
      </w:pPr>
      <w:r>
        <w:rPr>
          <w:bCs/>
        </w:rPr>
        <w:t>b.</w:t>
      </w:r>
      <w:r>
        <w:rPr>
          <w:bCs/>
        </w:rPr>
        <w:tab/>
        <w:t>Enter Security Code Number 4008 followed by the # sign,</w:t>
      </w:r>
    </w:p>
    <w:p w:rsidR="00846CE5" w:rsidRPr="00190121" w:rsidRDefault="00CA4A61" w:rsidP="00190121">
      <w:pPr>
        <w:spacing w:line="360" w:lineRule="auto"/>
        <w:ind w:firstLine="720"/>
        <w:contextualSpacing/>
        <w:jc w:val="both"/>
        <w:rPr>
          <w:bCs/>
        </w:rPr>
      </w:pPr>
      <w:r>
        <w:rPr>
          <w:bCs/>
        </w:rPr>
        <w:t>c.</w:t>
      </w:r>
      <w:r>
        <w:rPr>
          <w:bCs/>
        </w:rPr>
        <w:tab/>
        <w:t>State your name, the name of the party you rep</w:t>
      </w:r>
      <w:r w:rsidR="00A34208">
        <w:rPr>
          <w:bCs/>
        </w:rPr>
        <w:t>resent and enter the conference</w:t>
      </w:r>
    </w:p>
    <w:p w:rsidR="004D7206" w:rsidRPr="004D7206" w:rsidRDefault="00CA4A61" w:rsidP="004D7206">
      <w:pPr>
        <w:pStyle w:val="ListParagraph"/>
        <w:numPr>
          <w:ilvl w:val="0"/>
          <w:numId w:val="1"/>
        </w:numPr>
        <w:tabs>
          <w:tab w:val="left" w:pos="-1440"/>
        </w:tabs>
        <w:spacing w:line="360" w:lineRule="auto"/>
        <w:jc w:val="both"/>
        <w:rPr>
          <w:bCs/>
        </w:rPr>
      </w:pPr>
      <w:r w:rsidRPr="004F5A6B">
        <w:t xml:space="preserve">Motions for Continuance shall be filed on the </w:t>
      </w:r>
      <w:r w:rsidRPr="001B1B9B">
        <w:rPr>
          <w:b/>
        </w:rPr>
        <w:t xml:space="preserve">Friday prior to the </w:t>
      </w:r>
      <w:r w:rsidR="000E67CB">
        <w:rPr>
          <w:b/>
        </w:rPr>
        <w:t>Status Conference/</w:t>
      </w:r>
      <w:r w:rsidRPr="001B1B9B">
        <w:rPr>
          <w:b/>
        </w:rPr>
        <w:t>Calendar Call</w:t>
      </w:r>
      <w:r w:rsidRPr="004F5A6B">
        <w:t xml:space="preserve">.  </w:t>
      </w:r>
      <w:r w:rsidR="00883B60">
        <w:t>The f</w:t>
      </w:r>
      <w:r w:rsidRPr="004F5A6B">
        <w:t xml:space="preserve">iling of a Motion for Continuance does not automatically excuse the parties from appearing at </w:t>
      </w:r>
      <w:r w:rsidR="00883B60">
        <w:t>the Status Conference/</w:t>
      </w:r>
      <w:r w:rsidRPr="004F5A6B">
        <w:t>Calendar Call.</w:t>
      </w:r>
      <w:r w:rsidR="004D7206">
        <w:t xml:space="preserve"> </w:t>
      </w:r>
      <w:r w:rsidR="004D7206" w:rsidRPr="004D7206">
        <w:rPr>
          <w:b/>
        </w:rPr>
        <w:t>Every</w:t>
      </w:r>
      <w:r w:rsidR="000C42D7" w:rsidRPr="004D7206">
        <w:rPr>
          <w:b/>
        </w:rPr>
        <w:t xml:space="preserve"> Motion for Continuance</w:t>
      </w:r>
      <w:r w:rsidR="00210E1E">
        <w:rPr>
          <w:b/>
        </w:rPr>
        <w:t xml:space="preserve"> must include specific grounds that would support a finding that a continuance serves the “interests of justice” as required by 18 U.S.C. §</w:t>
      </w:r>
      <w:r w:rsidR="000C42D7" w:rsidRPr="004D7206">
        <w:rPr>
          <w:b/>
        </w:rPr>
        <w:t xml:space="preserve"> </w:t>
      </w:r>
      <w:r w:rsidR="00210E1E">
        <w:rPr>
          <w:b/>
        </w:rPr>
        <w:t xml:space="preserve"> </w:t>
      </w:r>
      <w:r w:rsidR="00210E1E">
        <w:rPr>
          <w:b/>
        </w:rPr>
        <w:lastRenderedPageBreak/>
        <w:t xml:space="preserve">3161(h)(7). </w:t>
      </w:r>
    </w:p>
    <w:p w:rsidR="002E06CA" w:rsidRPr="003E0835" w:rsidRDefault="002E06CA" w:rsidP="00F83098">
      <w:pPr>
        <w:pStyle w:val="ListParagraph"/>
        <w:numPr>
          <w:ilvl w:val="0"/>
          <w:numId w:val="1"/>
        </w:numPr>
        <w:tabs>
          <w:tab w:val="left" w:pos="-1440"/>
        </w:tabs>
        <w:spacing w:line="360" w:lineRule="auto"/>
        <w:jc w:val="both"/>
        <w:rPr>
          <w:bCs/>
        </w:rPr>
      </w:pPr>
      <w:r>
        <w:t xml:space="preserve">The following filings are due on the </w:t>
      </w:r>
      <w:r>
        <w:rPr>
          <w:b/>
        </w:rPr>
        <w:t xml:space="preserve">day before Calendar Call by no later than 12:00 p.m. noon (on Tuesday if calendar call is scheduled to begin on Wednesday): </w:t>
      </w:r>
    </w:p>
    <w:p w:rsidR="002E06CA" w:rsidRPr="002E06CA" w:rsidRDefault="002E06CA" w:rsidP="003E0835">
      <w:pPr>
        <w:pStyle w:val="ListParagraph"/>
        <w:numPr>
          <w:ilvl w:val="1"/>
          <w:numId w:val="1"/>
        </w:numPr>
        <w:tabs>
          <w:tab w:val="left" w:pos="-1440"/>
        </w:tabs>
        <w:spacing w:line="360" w:lineRule="auto"/>
        <w:jc w:val="both"/>
        <w:rPr>
          <w:bCs/>
        </w:rPr>
      </w:pPr>
      <w:proofErr w:type="spellStart"/>
      <w:r w:rsidRPr="003E0835">
        <w:rPr>
          <w:u w:val="single"/>
        </w:rPr>
        <w:t>Voire</w:t>
      </w:r>
      <w:proofErr w:type="spellEnd"/>
      <w:r w:rsidRPr="003E0835">
        <w:rPr>
          <w:u w:val="single"/>
        </w:rPr>
        <w:t xml:space="preserve"> Dire Questions</w:t>
      </w:r>
      <w:r>
        <w:t xml:space="preserve">: </w:t>
      </w:r>
      <w:r w:rsidR="00CC2247">
        <w:t xml:space="preserve">Counsel may </w:t>
      </w:r>
      <w:r w:rsidR="00846CE5">
        <w:t>conduct</w:t>
      </w:r>
      <w:r w:rsidR="00CA4A61">
        <w:t xml:space="preserve"> limited </w:t>
      </w:r>
      <w:proofErr w:type="spellStart"/>
      <w:r w:rsidR="00CA4A61" w:rsidRPr="004D7206">
        <w:rPr>
          <w:i/>
          <w:iCs/>
        </w:rPr>
        <w:t>voir</w:t>
      </w:r>
      <w:proofErr w:type="spellEnd"/>
      <w:r w:rsidR="00CA4A61" w:rsidRPr="004D7206">
        <w:rPr>
          <w:i/>
          <w:iCs/>
        </w:rPr>
        <w:t xml:space="preserve"> dire</w:t>
      </w:r>
      <w:r w:rsidR="00CA4A61">
        <w:t xml:space="preserve"> following the Court</w:t>
      </w:r>
      <w:r w:rsidR="00CC2247">
        <w:t>’s</w:t>
      </w:r>
      <w:r w:rsidR="00CA4A61">
        <w:t xml:space="preserve"> questioning of the panel.  If counsel wish for the Court to ask questions during </w:t>
      </w:r>
      <w:r w:rsidR="00CC2247">
        <w:t xml:space="preserve">its </w:t>
      </w:r>
      <w:proofErr w:type="spellStart"/>
      <w:r w:rsidR="00CA4A61" w:rsidRPr="004D7206">
        <w:rPr>
          <w:i/>
          <w:iCs/>
        </w:rPr>
        <w:t>voir</w:t>
      </w:r>
      <w:proofErr w:type="spellEnd"/>
      <w:r w:rsidR="00CA4A61" w:rsidRPr="004D7206">
        <w:rPr>
          <w:i/>
          <w:iCs/>
        </w:rPr>
        <w:t xml:space="preserve"> dire</w:t>
      </w:r>
      <w:r w:rsidR="00CA4A61">
        <w:t xml:space="preserve"> in addition to the Court</w:t>
      </w:r>
      <w:r w:rsidR="00E6389E">
        <w:t>’</w:t>
      </w:r>
      <w:r w:rsidR="00CA4A61">
        <w:t>s standa</w:t>
      </w:r>
      <w:r w:rsidR="00770A0A">
        <w:t xml:space="preserve">rd questions, counsel shall </w:t>
      </w:r>
      <w:r>
        <w:t xml:space="preserve">file </w:t>
      </w:r>
      <w:r w:rsidR="00CA4A61">
        <w:t>th</w:t>
      </w:r>
      <w:r w:rsidR="00770A0A">
        <w:t xml:space="preserve">eir </w:t>
      </w:r>
      <w:r w:rsidR="00E6389E">
        <w:t xml:space="preserve">questions </w:t>
      </w:r>
      <w:r>
        <w:t xml:space="preserve">so that the Court may consider them in advance of Calendar Call. </w:t>
      </w:r>
    </w:p>
    <w:p w:rsidR="002E06CA" w:rsidRPr="002E06CA" w:rsidRDefault="002E06CA" w:rsidP="003E0835">
      <w:pPr>
        <w:pStyle w:val="ListParagraph"/>
        <w:numPr>
          <w:ilvl w:val="1"/>
          <w:numId w:val="1"/>
        </w:numPr>
        <w:tabs>
          <w:tab w:val="left" w:pos="-1440"/>
        </w:tabs>
        <w:spacing w:line="360" w:lineRule="auto"/>
        <w:jc w:val="both"/>
        <w:rPr>
          <w:bCs/>
        </w:rPr>
      </w:pPr>
      <w:r w:rsidRPr="003E0835">
        <w:rPr>
          <w:u w:val="single"/>
        </w:rPr>
        <w:t>Statement of the Case</w:t>
      </w:r>
      <w:r>
        <w:t xml:space="preserve">: During </w:t>
      </w:r>
      <w:proofErr w:type="spellStart"/>
      <w:r w:rsidRPr="003E0835">
        <w:rPr>
          <w:i/>
        </w:rPr>
        <w:t>voire</w:t>
      </w:r>
      <w:proofErr w:type="spellEnd"/>
      <w:r w:rsidRPr="003E0835">
        <w:rPr>
          <w:i/>
        </w:rPr>
        <w:t xml:space="preserve"> dire</w:t>
      </w:r>
      <w:r>
        <w:t xml:space="preserve">, the Court will read this </w:t>
      </w:r>
      <w:r w:rsidRPr="003E0835">
        <w:rPr>
          <w:b/>
        </w:rPr>
        <w:t>joint</w:t>
      </w:r>
      <w:r>
        <w:t xml:space="preserve"> statement of the case to familiarize</w:t>
      </w:r>
      <w:r w:rsidR="003E0835">
        <w:t xml:space="preserve"> potential jurors with</w:t>
      </w:r>
      <w:r>
        <w:t xml:space="preserve"> the subject matter of the case. </w:t>
      </w:r>
    </w:p>
    <w:p w:rsidR="00F83098" w:rsidRPr="00315BC8" w:rsidRDefault="002E06CA" w:rsidP="003E0835">
      <w:pPr>
        <w:pStyle w:val="ListParagraph"/>
        <w:numPr>
          <w:ilvl w:val="1"/>
          <w:numId w:val="1"/>
        </w:numPr>
        <w:tabs>
          <w:tab w:val="left" w:pos="-1440"/>
        </w:tabs>
        <w:spacing w:line="360" w:lineRule="auto"/>
        <w:jc w:val="both"/>
        <w:rPr>
          <w:bCs/>
        </w:rPr>
      </w:pPr>
      <w:r w:rsidRPr="003E0835">
        <w:rPr>
          <w:u w:val="single"/>
        </w:rPr>
        <w:t>Jury Instructions/Verdict Form</w:t>
      </w:r>
      <w:r>
        <w:t xml:space="preserve">: </w:t>
      </w:r>
      <w:r w:rsidR="00A67361">
        <w:t xml:space="preserve">A single, joint set of proposed jury instructions, including those for substantive charges and defenses, and a proposed verdict form, shall </w:t>
      </w:r>
      <w:r>
        <w:t>also be filed.</w:t>
      </w:r>
      <w:r>
        <w:rPr>
          <w:bCs/>
        </w:rPr>
        <w:t xml:space="preserve"> </w:t>
      </w:r>
    </w:p>
    <w:p w:rsidR="00315BC8" w:rsidRDefault="00315BC8" w:rsidP="003E0835">
      <w:pPr>
        <w:pStyle w:val="ListParagraph"/>
        <w:numPr>
          <w:ilvl w:val="2"/>
          <w:numId w:val="1"/>
        </w:numPr>
        <w:tabs>
          <w:tab w:val="left" w:pos="-1440"/>
        </w:tabs>
        <w:spacing w:line="360" w:lineRule="auto"/>
        <w:jc w:val="both"/>
        <w:rPr>
          <w:bCs/>
        </w:rPr>
      </w:pPr>
      <w:r w:rsidRPr="0053069E">
        <w:rPr>
          <w:bCs/>
        </w:rPr>
        <w:t xml:space="preserve">To the extent </w:t>
      </w:r>
      <w:r>
        <w:rPr>
          <w:bCs/>
        </w:rPr>
        <w:t>proposed jury</w:t>
      </w:r>
      <w:r w:rsidRPr="0053069E">
        <w:rPr>
          <w:bCs/>
        </w:rPr>
        <w:t xml:space="preserve"> instructions are based upon the Eleventh Circuit pattern jury instructions, counsel shall indicate the appropriate Eleventh Circuit pattern jury instruction upon which their instruction is modeled.  All other instructions shall include citations to relevant supporting case law.</w:t>
      </w:r>
      <w:r>
        <w:rPr>
          <w:bCs/>
        </w:rPr>
        <w:t xml:space="preserve"> </w:t>
      </w:r>
    </w:p>
    <w:p w:rsidR="00315BC8" w:rsidRDefault="00315BC8" w:rsidP="003E0835">
      <w:pPr>
        <w:pStyle w:val="ListParagraph"/>
        <w:numPr>
          <w:ilvl w:val="2"/>
          <w:numId w:val="1"/>
        </w:numPr>
        <w:tabs>
          <w:tab w:val="left" w:pos="-1440"/>
        </w:tabs>
        <w:spacing w:line="360" w:lineRule="auto"/>
        <w:jc w:val="both"/>
        <w:rPr>
          <w:bCs/>
        </w:rPr>
      </w:pPr>
      <w:r w:rsidRPr="0053069E">
        <w:rPr>
          <w:bCs/>
        </w:rPr>
        <w:t xml:space="preserve">The parties need not agree on the proposed language of each instruction or question on the verdict form.  Where the parties do agree on a proposed instruction or question, that instruction or question shall be set forth in Times New Roman 14 point typeface. Instructions and questions proposed only by the </w:t>
      </w:r>
      <w:r>
        <w:rPr>
          <w:bCs/>
        </w:rPr>
        <w:t>Government to which the D</w:t>
      </w:r>
      <w:r w:rsidRPr="0053069E">
        <w:rPr>
          <w:bCs/>
        </w:rPr>
        <w:t xml:space="preserve">efendant(s) object shall be </w:t>
      </w:r>
      <w:r w:rsidRPr="00315BC8">
        <w:rPr>
          <w:bCs/>
          <w:i/>
        </w:rPr>
        <w:t>italicized</w:t>
      </w:r>
      <w:r w:rsidRPr="0053069E">
        <w:rPr>
          <w:bCs/>
        </w:rPr>
        <w:t>. Instructions and questions</w:t>
      </w:r>
      <w:r>
        <w:rPr>
          <w:bCs/>
        </w:rPr>
        <w:t xml:space="preserve"> proposed only by D</w:t>
      </w:r>
      <w:r w:rsidRPr="0053069E">
        <w:rPr>
          <w:bCs/>
        </w:rPr>
        <w:t xml:space="preserve">efendant(s) to which </w:t>
      </w:r>
      <w:r>
        <w:rPr>
          <w:bCs/>
        </w:rPr>
        <w:t>Government</w:t>
      </w:r>
      <w:r w:rsidRPr="0053069E">
        <w:rPr>
          <w:bCs/>
        </w:rPr>
        <w:t xml:space="preserve"> object</w:t>
      </w:r>
      <w:r>
        <w:rPr>
          <w:bCs/>
        </w:rPr>
        <w:t>s</w:t>
      </w:r>
      <w:r w:rsidRPr="0053069E">
        <w:rPr>
          <w:bCs/>
        </w:rPr>
        <w:t xml:space="preserve"> shall be </w:t>
      </w:r>
      <w:r>
        <w:rPr>
          <w:b/>
          <w:bCs/>
        </w:rPr>
        <w:t>bolded</w:t>
      </w:r>
      <w:r w:rsidRPr="0053069E">
        <w:rPr>
          <w:bCs/>
        </w:rPr>
        <w:t xml:space="preserve">. </w:t>
      </w:r>
      <w:r>
        <w:t>Counsel for the defendant may file under seal any proposed jury instructions that relate to the theory of the case.</w:t>
      </w:r>
    </w:p>
    <w:p w:rsidR="00315BC8" w:rsidRPr="0053069E" w:rsidRDefault="00315BC8" w:rsidP="003E0835">
      <w:pPr>
        <w:pStyle w:val="ListParagraph"/>
        <w:numPr>
          <w:ilvl w:val="2"/>
          <w:numId w:val="1"/>
        </w:numPr>
        <w:tabs>
          <w:tab w:val="left" w:pos="-1440"/>
        </w:tabs>
        <w:spacing w:line="360" w:lineRule="auto"/>
        <w:jc w:val="both"/>
        <w:rPr>
          <w:bCs/>
        </w:rPr>
      </w:pPr>
      <w:r w:rsidRPr="0053069E">
        <w:rPr>
          <w:bCs/>
        </w:rPr>
        <w:t xml:space="preserve">Each jury instruction shall be typed on a separate page and, except for Eleventh Circuit pattern instructions clearly identified as such, must be supported by citations to authority. </w:t>
      </w:r>
    </w:p>
    <w:p w:rsidR="00315BC8" w:rsidRPr="00F83098" w:rsidRDefault="00315BC8" w:rsidP="003E0835">
      <w:pPr>
        <w:pStyle w:val="ListParagraph"/>
        <w:numPr>
          <w:ilvl w:val="2"/>
          <w:numId w:val="1"/>
        </w:numPr>
        <w:tabs>
          <w:tab w:val="left" w:pos="-1440"/>
        </w:tabs>
        <w:spacing w:line="360" w:lineRule="auto"/>
        <w:jc w:val="both"/>
        <w:rPr>
          <w:bCs/>
        </w:rPr>
      </w:pPr>
      <w:r>
        <w:t xml:space="preserve">The </w:t>
      </w:r>
      <w:proofErr w:type="spellStart"/>
      <w:r>
        <w:rPr>
          <w:i/>
        </w:rPr>
        <w:t>voir</w:t>
      </w:r>
      <w:proofErr w:type="spellEnd"/>
      <w:r>
        <w:rPr>
          <w:i/>
        </w:rPr>
        <w:t xml:space="preserve"> dire questions </w:t>
      </w:r>
      <w:r>
        <w:t xml:space="preserve">and the proposed jury instructions shall be submitted in Word format, by e-mailing them to </w:t>
      </w:r>
      <w:r>
        <w:rPr>
          <w:rStyle w:val="Hypertext"/>
        </w:rPr>
        <w:lastRenderedPageBreak/>
        <w:t>rosenberg@flsd.uscourts.gov.</w:t>
      </w:r>
      <w:r>
        <w:t xml:space="preserve">  </w:t>
      </w:r>
    </w:p>
    <w:p w:rsidR="00C8164D" w:rsidRPr="00C8164D" w:rsidRDefault="001B6D54" w:rsidP="00C8164D">
      <w:pPr>
        <w:pStyle w:val="ListParagraph"/>
        <w:numPr>
          <w:ilvl w:val="0"/>
          <w:numId w:val="1"/>
        </w:numPr>
        <w:tabs>
          <w:tab w:val="left" w:pos="-1440"/>
        </w:tabs>
        <w:spacing w:line="360" w:lineRule="auto"/>
        <w:jc w:val="both"/>
        <w:rPr>
          <w:bCs/>
        </w:rPr>
      </w:pPr>
      <w:r>
        <w:t>Unless otherwise provide</w:t>
      </w:r>
      <w:r w:rsidR="00ED3E66">
        <w:t>d</w:t>
      </w:r>
      <w:r>
        <w:t xml:space="preserve"> by separate order of</w:t>
      </w:r>
      <w:r w:rsidR="003468E4">
        <w:t xml:space="preserve"> the Court, </w:t>
      </w:r>
      <w:r w:rsidR="00235717">
        <w:t xml:space="preserve">counsel for </w:t>
      </w:r>
      <w:r w:rsidR="00917B08">
        <w:t>th</w:t>
      </w:r>
      <w:r w:rsidR="00F71968">
        <w:t xml:space="preserve">e Government shall provide </w:t>
      </w:r>
      <w:r w:rsidR="00917B08">
        <w:t xml:space="preserve">the Court and counsel for the defendant </w:t>
      </w:r>
      <w:r w:rsidR="00235717">
        <w:t xml:space="preserve">with </w:t>
      </w:r>
      <w:r w:rsidR="00917B08">
        <w:t xml:space="preserve">the </w:t>
      </w:r>
      <w:r w:rsidR="004A6C0A">
        <w:t xml:space="preserve">witness </w:t>
      </w:r>
      <w:r w:rsidR="00CA4A61">
        <w:t>and e</w:t>
      </w:r>
      <w:r w:rsidR="004A6C0A">
        <w:t>xhibit</w:t>
      </w:r>
      <w:r w:rsidR="00B80DE5">
        <w:t xml:space="preserve"> lists</w:t>
      </w:r>
      <w:r w:rsidR="003468E4">
        <w:t xml:space="preserve"> on the </w:t>
      </w:r>
      <w:r w:rsidR="003468E4">
        <w:rPr>
          <w:b/>
        </w:rPr>
        <w:t>day of trial</w:t>
      </w:r>
      <w:r w:rsidR="00CA4A61">
        <w:t xml:space="preserve">.  All exhibits to be offered into evidence </w:t>
      </w:r>
      <w:r w:rsidR="00CA4A61" w:rsidRPr="00F83098">
        <w:rPr>
          <w:b/>
          <w:bCs/>
        </w:rPr>
        <w:t>must be pre-labeled</w:t>
      </w:r>
      <w:r w:rsidR="00CA4A61">
        <w:t xml:space="preserve"> </w:t>
      </w:r>
      <w:r w:rsidR="005A7190">
        <w:t xml:space="preserve">in accordance with the </w:t>
      </w:r>
      <w:r w:rsidR="00CA4A61">
        <w:t xml:space="preserve">exhibit list.  </w:t>
      </w:r>
      <w:r w:rsidR="00CA4A61">
        <w:tab/>
      </w:r>
    </w:p>
    <w:p w:rsidR="00EC7CF1" w:rsidRPr="0053069E" w:rsidRDefault="00A33DD0" w:rsidP="00EC7CF1">
      <w:pPr>
        <w:pStyle w:val="ListParagraph"/>
        <w:numPr>
          <w:ilvl w:val="0"/>
          <w:numId w:val="1"/>
        </w:numPr>
        <w:tabs>
          <w:tab w:val="left" w:pos="-1440"/>
        </w:tabs>
        <w:spacing w:line="360" w:lineRule="auto"/>
        <w:jc w:val="both"/>
        <w:rPr>
          <w:bCs/>
        </w:rPr>
      </w:pPr>
      <w:r>
        <w:t>If the case</w:t>
      </w:r>
      <w:r w:rsidR="00CA4A61">
        <w:t xml:space="preserve"> will be resolve</w:t>
      </w:r>
      <w:r w:rsidR="00EC5B1C">
        <w:t xml:space="preserve">d by a </w:t>
      </w:r>
      <w:r w:rsidR="0015234F">
        <w:t xml:space="preserve">change of plea, counsel for the </w:t>
      </w:r>
      <w:r w:rsidR="00CA4A61">
        <w:t>parties shall email the courtroom deputy</w:t>
      </w:r>
      <w:r w:rsidR="0015234F">
        <w:t>, Melanie Richardson</w:t>
      </w:r>
      <w:r w:rsidR="00CA4A61">
        <w:t xml:space="preserve"> </w:t>
      </w:r>
      <w:r w:rsidR="00CA4A61" w:rsidRPr="004B2B06">
        <w:t>(</w:t>
      </w:r>
      <w:r w:rsidR="0015234F">
        <w:t>rosenberg@flsd.uscourts.gov</w:t>
      </w:r>
      <w:r w:rsidR="00CA4A61" w:rsidRPr="004B2B06">
        <w:t>)</w:t>
      </w:r>
      <w:r w:rsidR="00CA4A61">
        <w:t xml:space="preserve"> immediately upon reaching such determination to set the matter for a change of plea. </w:t>
      </w:r>
    </w:p>
    <w:p w:rsidR="0053069E" w:rsidRPr="0053069E" w:rsidRDefault="0053069E" w:rsidP="0053069E">
      <w:pPr>
        <w:pStyle w:val="ListParagraph"/>
        <w:numPr>
          <w:ilvl w:val="0"/>
          <w:numId w:val="1"/>
        </w:numPr>
        <w:tabs>
          <w:tab w:val="left" w:pos="-1440"/>
        </w:tabs>
        <w:spacing w:line="360" w:lineRule="auto"/>
        <w:jc w:val="both"/>
        <w:rPr>
          <w:bCs/>
        </w:rPr>
      </w:pPr>
      <w:r>
        <w:rPr>
          <w:bCs/>
        </w:rPr>
        <w:t xml:space="preserve">To the extent the Court requests any other jointly filed or agreed-to documents, the </w:t>
      </w:r>
      <w:r w:rsidRPr="0053069E">
        <w:rPr>
          <w:bCs/>
        </w:rPr>
        <w:t>parties need not</w:t>
      </w:r>
      <w:r>
        <w:rPr>
          <w:bCs/>
        </w:rPr>
        <w:t xml:space="preserve"> agree on all of </w:t>
      </w:r>
      <w:r w:rsidRPr="0053069E">
        <w:rPr>
          <w:bCs/>
        </w:rPr>
        <w:t xml:space="preserve">the proposed language: Where the parties do agree, that section of the document shall be typed in normal typeface. Language proposed only by the Government, to which the Defendant objects shall be </w:t>
      </w:r>
      <w:r w:rsidRPr="0053069E">
        <w:rPr>
          <w:bCs/>
          <w:i/>
        </w:rPr>
        <w:t>italicized</w:t>
      </w:r>
      <w:r w:rsidRPr="0053069E">
        <w:rPr>
          <w:bCs/>
        </w:rPr>
        <w:t xml:space="preserve">. Language proposed only by the Defendant, to which the Government objects shall be </w:t>
      </w:r>
      <w:r w:rsidRPr="0053069E">
        <w:rPr>
          <w:b/>
          <w:bCs/>
        </w:rPr>
        <w:t>bolded</w:t>
      </w:r>
      <w:r w:rsidRPr="0053069E">
        <w:rPr>
          <w:bCs/>
        </w:rPr>
        <w:t xml:space="preserve">. </w:t>
      </w:r>
    </w:p>
    <w:p w:rsidR="00CA4A61" w:rsidRPr="0053069E" w:rsidRDefault="00CA4A61" w:rsidP="00EC7CF1">
      <w:pPr>
        <w:pStyle w:val="ListParagraph"/>
        <w:numPr>
          <w:ilvl w:val="0"/>
          <w:numId w:val="1"/>
        </w:numPr>
        <w:tabs>
          <w:tab w:val="left" w:pos="-1440"/>
        </w:tabs>
        <w:spacing w:line="360" w:lineRule="auto"/>
        <w:jc w:val="both"/>
        <w:rPr>
          <w:rStyle w:val="Hyperlink"/>
          <w:bCs/>
          <w:color w:val="auto"/>
          <w:u w:val="none"/>
        </w:rPr>
      </w:pPr>
      <w:r>
        <w:t>Pursuant to the Court</w:t>
      </w:r>
      <w:r w:rsidR="00EC7CF1">
        <w:t>’</w:t>
      </w:r>
      <w:r>
        <w:t xml:space="preserve">s CM/ECF Administrative Procedures, proposed orders shall be submitted to the Court by e-mail in Word format at </w:t>
      </w:r>
      <w:hyperlink r:id="rId7" w:history="1">
        <w:r w:rsidRPr="00BE1650">
          <w:rPr>
            <w:rStyle w:val="Hyperlink"/>
          </w:rPr>
          <w:t>rosenberg@flsd.uscourts.gov</w:t>
        </w:r>
      </w:hyperlink>
      <w:r w:rsidR="0053069E">
        <w:rPr>
          <w:rStyle w:val="Hyperlink"/>
        </w:rPr>
        <w:t>.</w:t>
      </w:r>
    </w:p>
    <w:p w:rsidR="0053069E" w:rsidRPr="0053069E" w:rsidRDefault="0053069E" w:rsidP="0053069E">
      <w:pPr>
        <w:tabs>
          <w:tab w:val="left" w:pos="-1440"/>
        </w:tabs>
        <w:spacing w:line="360" w:lineRule="auto"/>
        <w:ind w:left="360"/>
        <w:jc w:val="both"/>
        <w:rPr>
          <w:bCs/>
        </w:rPr>
      </w:pPr>
    </w:p>
    <w:p w:rsidR="00CA4A61" w:rsidRDefault="00CA4A61" w:rsidP="00B10FA0">
      <w:pPr>
        <w:spacing w:line="360" w:lineRule="auto"/>
        <w:ind w:firstLine="720"/>
        <w:contextualSpacing/>
        <w:jc w:val="both"/>
      </w:pPr>
      <w:r>
        <w:rPr>
          <w:b/>
          <w:bCs/>
        </w:rPr>
        <w:t>DONE AND ORDERED</w:t>
      </w:r>
      <w:r>
        <w:t xml:space="preserve"> at </w:t>
      </w:r>
      <w:r w:rsidR="00334937">
        <w:t>West Palm Beach</w:t>
      </w:r>
      <w:r w:rsidR="004F25E1">
        <w:t>,</w:t>
      </w:r>
      <w:r>
        <w:t xml:space="preserve"> Florida, this </w:t>
      </w:r>
      <w:r w:rsidR="00E73938">
        <w:t>4</w:t>
      </w:r>
      <w:r w:rsidR="00E73938" w:rsidRPr="00E73938">
        <w:rPr>
          <w:vertAlign w:val="superscript"/>
        </w:rPr>
        <w:t>th</w:t>
      </w:r>
      <w:bookmarkStart w:id="0" w:name="_GoBack"/>
      <w:bookmarkEnd w:id="0"/>
      <w:r w:rsidR="00B64A1A">
        <w:t xml:space="preserve">, </w:t>
      </w:r>
      <w:r>
        <w:t xml:space="preserve">day of </w:t>
      </w:r>
      <w:r w:rsidR="00E73938">
        <w:t>February</w:t>
      </w:r>
      <w:r w:rsidR="00D44BB1">
        <w:t>,</w:t>
      </w:r>
      <w:r w:rsidR="00FF7685">
        <w:t xml:space="preserve"> </w:t>
      </w:r>
      <w:r>
        <w:t>201</w:t>
      </w:r>
      <w:r w:rsidR="000D0256">
        <w:t>9</w:t>
      </w:r>
      <w:r>
        <w:t>.</w:t>
      </w:r>
    </w:p>
    <w:p w:rsidR="002024D6" w:rsidRDefault="002024D6" w:rsidP="00CA4A61">
      <w:pPr>
        <w:spacing w:line="360" w:lineRule="auto"/>
        <w:ind w:firstLine="720"/>
        <w:contextualSpacing/>
        <w:jc w:val="both"/>
      </w:pPr>
    </w:p>
    <w:p w:rsidR="00CA4A61" w:rsidRDefault="00CA4A61" w:rsidP="00CA4A61">
      <w:pPr>
        <w:spacing w:line="360" w:lineRule="auto"/>
        <w:contextualSpacing/>
        <w:jc w:val="both"/>
      </w:pPr>
      <w:r>
        <w:rPr>
          <w:noProof/>
        </w:rPr>
        <w:drawing>
          <wp:anchor distT="0" distB="0" distL="114300" distR="114300" simplePos="0" relativeHeight="251659264" behindDoc="1" locked="0" layoutInCell="1" allowOverlap="1" wp14:anchorId="5E0911B0" wp14:editId="1CF86DE6">
            <wp:simplePos x="0" y="0"/>
            <wp:positionH relativeFrom="column">
              <wp:posOffset>3200400</wp:posOffset>
            </wp:positionH>
            <wp:positionV relativeFrom="paragraph">
              <wp:posOffset>15240</wp:posOffset>
            </wp:positionV>
            <wp:extent cx="2628900" cy="650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enbergSignature.jpg"/>
                    <pic:cNvPicPr/>
                  </pic:nvPicPr>
                  <pic:blipFill>
                    <a:blip r:embed="rId8">
                      <a:extLst>
                        <a:ext uri="{28A0092B-C50C-407E-A947-70E740481C1C}">
                          <a14:useLocalDpi xmlns:a14="http://schemas.microsoft.com/office/drawing/2010/main" val="0"/>
                        </a:ext>
                      </a:extLst>
                    </a:blip>
                    <a:stretch>
                      <a:fillRect/>
                    </a:stretch>
                  </pic:blipFill>
                  <pic:spPr>
                    <a:xfrm>
                      <a:off x="0" y="0"/>
                      <a:ext cx="2628900" cy="650240"/>
                    </a:xfrm>
                    <a:prstGeom prst="rect">
                      <a:avLst/>
                    </a:prstGeom>
                  </pic:spPr>
                </pic:pic>
              </a:graphicData>
            </a:graphic>
            <wp14:sizeRelH relativeFrom="page">
              <wp14:pctWidth>0</wp14:pctWidth>
            </wp14:sizeRelH>
            <wp14:sizeRelV relativeFrom="page">
              <wp14:pctHeight>0</wp14:pctHeight>
            </wp14:sizeRelV>
          </wp:anchor>
        </w:drawing>
      </w:r>
    </w:p>
    <w:p w:rsidR="00CA4A61" w:rsidRDefault="00CA4A61" w:rsidP="00CA4A61">
      <w:pPr>
        <w:ind w:firstLine="5040"/>
        <w:jc w:val="both"/>
        <w:rPr>
          <w:u w:val="single"/>
        </w:rPr>
      </w:pPr>
      <w:r>
        <w:rPr>
          <w:u w:val="single"/>
        </w:rPr>
        <w:t xml:space="preserve">___________________________________ </w:t>
      </w:r>
    </w:p>
    <w:p w:rsidR="00CA4A61" w:rsidRDefault="00CA4A61" w:rsidP="00CA4A61">
      <w:pPr>
        <w:ind w:firstLine="5040"/>
        <w:jc w:val="both"/>
      </w:pPr>
      <w:r>
        <w:t>ROBIN L. ROSENBERG</w:t>
      </w:r>
    </w:p>
    <w:p w:rsidR="00CA4A61" w:rsidRDefault="00CA4A61" w:rsidP="00CA4A61">
      <w:pPr>
        <w:ind w:firstLine="5040"/>
        <w:jc w:val="both"/>
      </w:pPr>
      <w:r>
        <w:t>UNITED STATES DISTRICT JUDGE</w:t>
      </w:r>
    </w:p>
    <w:p w:rsidR="00CA4A61" w:rsidRDefault="00CA4A61" w:rsidP="00CA4A61">
      <w:pPr>
        <w:tabs>
          <w:tab w:val="left" w:pos="-1440"/>
        </w:tabs>
        <w:spacing w:line="360" w:lineRule="auto"/>
        <w:jc w:val="both"/>
      </w:pPr>
      <w:r>
        <w:t>Cc: Counsel of Record</w:t>
      </w:r>
    </w:p>
    <w:p w:rsidR="00835DB2" w:rsidRDefault="00835DB2"/>
    <w:sectPr w:rsidR="00835DB2" w:rsidSect="00802EB0">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258" w:rsidRDefault="00916258" w:rsidP="00CA4A61">
      <w:r>
        <w:separator/>
      </w:r>
    </w:p>
  </w:endnote>
  <w:endnote w:type="continuationSeparator" w:id="0">
    <w:p w:rsidR="00916258" w:rsidRDefault="00916258" w:rsidP="00CA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73" w:rsidRDefault="00E73938">
    <w:pPr>
      <w:spacing w:line="240" w:lineRule="exact"/>
    </w:pPr>
  </w:p>
  <w:p w:rsidR="007F7173" w:rsidRDefault="00CA4A61">
    <w:pPr>
      <w:framePr w:w="9361" w:wrap="notBeside" w:vAnchor="text" w:hAnchor="text" w:x="1" w:y="1"/>
      <w:jc w:val="center"/>
    </w:pPr>
    <w:r>
      <w:t>-</w:t>
    </w:r>
    <w:r>
      <w:fldChar w:fldCharType="begin"/>
    </w:r>
    <w:r>
      <w:instrText xml:space="preserve">PAGE </w:instrText>
    </w:r>
    <w:r>
      <w:fldChar w:fldCharType="separate"/>
    </w:r>
    <w:r w:rsidR="00AB2C5B">
      <w:rPr>
        <w:noProof/>
      </w:rPr>
      <w:t>2</w:t>
    </w:r>
    <w:r>
      <w:fldChar w:fldCharType="end"/>
    </w:r>
    <w:r>
      <w:t>-</w:t>
    </w:r>
  </w:p>
  <w:p w:rsidR="007F7173" w:rsidRDefault="00E739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258" w:rsidRDefault="00916258" w:rsidP="00CA4A61">
      <w:r>
        <w:separator/>
      </w:r>
    </w:p>
  </w:footnote>
  <w:footnote w:type="continuationSeparator" w:id="0">
    <w:p w:rsidR="00916258" w:rsidRDefault="00916258" w:rsidP="00CA4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26495"/>
    <w:multiLevelType w:val="hybridMultilevel"/>
    <w:tmpl w:val="EE04A00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61"/>
    <w:rsid w:val="000635CA"/>
    <w:rsid w:val="000B6A70"/>
    <w:rsid w:val="000C42D7"/>
    <w:rsid w:val="000D0256"/>
    <w:rsid w:val="000E67CB"/>
    <w:rsid w:val="000F7493"/>
    <w:rsid w:val="00100014"/>
    <w:rsid w:val="00110461"/>
    <w:rsid w:val="00115DA7"/>
    <w:rsid w:val="00121AFE"/>
    <w:rsid w:val="0015234F"/>
    <w:rsid w:val="00160280"/>
    <w:rsid w:val="0018011A"/>
    <w:rsid w:val="00190121"/>
    <w:rsid w:val="001B1B9B"/>
    <w:rsid w:val="001B6D54"/>
    <w:rsid w:val="001F658B"/>
    <w:rsid w:val="00200A1E"/>
    <w:rsid w:val="002024D6"/>
    <w:rsid w:val="00203923"/>
    <w:rsid w:val="0021044F"/>
    <w:rsid w:val="00210E1E"/>
    <w:rsid w:val="002258C3"/>
    <w:rsid w:val="00227CDE"/>
    <w:rsid w:val="00235717"/>
    <w:rsid w:val="00250FF1"/>
    <w:rsid w:val="002676B3"/>
    <w:rsid w:val="00277EEC"/>
    <w:rsid w:val="002A5624"/>
    <w:rsid w:val="002E06CA"/>
    <w:rsid w:val="002E40DD"/>
    <w:rsid w:val="00301734"/>
    <w:rsid w:val="0030570B"/>
    <w:rsid w:val="00315BC8"/>
    <w:rsid w:val="00334937"/>
    <w:rsid w:val="00344A26"/>
    <w:rsid w:val="003468E4"/>
    <w:rsid w:val="00352B3B"/>
    <w:rsid w:val="00385C61"/>
    <w:rsid w:val="003878F7"/>
    <w:rsid w:val="00391FA0"/>
    <w:rsid w:val="003A080D"/>
    <w:rsid w:val="003A49BB"/>
    <w:rsid w:val="003A76B9"/>
    <w:rsid w:val="003C41EE"/>
    <w:rsid w:val="003D1F69"/>
    <w:rsid w:val="003E0835"/>
    <w:rsid w:val="003F5816"/>
    <w:rsid w:val="00400255"/>
    <w:rsid w:val="00402F51"/>
    <w:rsid w:val="00405BE6"/>
    <w:rsid w:val="00441675"/>
    <w:rsid w:val="004510C1"/>
    <w:rsid w:val="004539F4"/>
    <w:rsid w:val="00454B97"/>
    <w:rsid w:val="00473070"/>
    <w:rsid w:val="00474CDD"/>
    <w:rsid w:val="00484EBB"/>
    <w:rsid w:val="00490D30"/>
    <w:rsid w:val="004A33EE"/>
    <w:rsid w:val="004A6530"/>
    <w:rsid w:val="004A6C0A"/>
    <w:rsid w:val="004C5C48"/>
    <w:rsid w:val="004D7206"/>
    <w:rsid w:val="004F25E1"/>
    <w:rsid w:val="004F3EFF"/>
    <w:rsid w:val="004F5A6B"/>
    <w:rsid w:val="0053069E"/>
    <w:rsid w:val="00541866"/>
    <w:rsid w:val="00543576"/>
    <w:rsid w:val="0055080D"/>
    <w:rsid w:val="00580DA1"/>
    <w:rsid w:val="00586951"/>
    <w:rsid w:val="005A7190"/>
    <w:rsid w:val="005C4E0D"/>
    <w:rsid w:val="005F6FF4"/>
    <w:rsid w:val="005F77D8"/>
    <w:rsid w:val="0061693C"/>
    <w:rsid w:val="006403D9"/>
    <w:rsid w:val="00646E75"/>
    <w:rsid w:val="006540B1"/>
    <w:rsid w:val="00681100"/>
    <w:rsid w:val="006A5FC7"/>
    <w:rsid w:val="006B5DDB"/>
    <w:rsid w:val="006D0A39"/>
    <w:rsid w:val="0070742A"/>
    <w:rsid w:val="00734496"/>
    <w:rsid w:val="007406C7"/>
    <w:rsid w:val="007433C9"/>
    <w:rsid w:val="00770A0A"/>
    <w:rsid w:val="0078268B"/>
    <w:rsid w:val="00794D64"/>
    <w:rsid w:val="007A5D2A"/>
    <w:rsid w:val="007B16AF"/>
    <w:rsid w:val="007D3A89"/>
    <w:rsid w:val="00806490"/>
    <w:rsid w:val="00835DB2"/>
    <w:rsid w:val="00835EC7"/>
    <w:rsid w:val="00842041"/>
    <w:rsid w:val="00846CE5"/>
    <w:rsid w:val="0085322A"/>
    <w:rsid w:val="00883B60"/>
    <w:rsid w:val="00884BFC"/>
    <w:rsid w:val="00885A05"/>
    <w:rsid w:val="00893A32"/>
    <w:rsid w:val="008C7330"/>
    <w:rsid w:val="008D0959"/>
    <w:rsid w:val="008D4B16"/>
    <w:rsid w:val="00913D1E"/>
    <w:rsid w:val="00916258"/>
    <w:rsid w:val="00917B08"/>
    <w:rsid w:val="009264CC"/>
    <w:rsid w:val="00931815"/>
    <w:rsid w:val="00941E38"/>
    <w:rsid w:val="0095583D"/>
    <w:rsid w:val="0097417F"/>
    <w:rsid w:val="00984035"/>
    <w:rsid w:val="009A007E"/>
    <w:rsid w:val="009A10E8"/>
    <w:rsid w:val="009D7CE4"/>
    <w:rsid w:val="009E3409"/>
    <w:rsid w:val="00A2643E"/>
    <w:rsid w:val="00A27124"/>
    <w:rsid w:val="00A33DD0"/>
    <w:rsid w:val="00A34208"/>
    <w:rsid w:val="00A35FDC"/>
    <w:rsid w:val="00A41F95"/>
    <w:rsid w:val="00A42B39"/>
    <w:rsid w:val="00A44F26"/>
    <w:rsid w:val="00A67361"/>
    <w:rsid w:val="00A832FE"/>
    <w:rsid w:val="00A93E25"/>
    <w:rsid w:val="00AA18B1"/>
    <w:rsid w:val="00AB2C5B"/>
    <w:rsid w:val="00AB3B55"/>
    <w:rsid w:val="00AB7B68"/>
    <w:rsid w:val="00B0263D"/>
    <w:rsid w:val="00B07C73"/>
    <w:rsid w:val="00B10FA0"/>
    <w:rsid w:val="00B11ED1"/>
    <w:rsid w:val="00B355D2"/>
    <w:rsid w:val="00B44984"/>
    <w:rsid w:val="00B63E44"/>
    <w:rsid w:val="00B64A1A"/>
    <w:rsid w:val="00B745AF"/>
    <w:rsid w:val="00B80DE5"/>
    <w:rsid w:val="00B90841"/>
    <w:rsid w:val="00BD45A1"/>
    <w:rsid w:val="00BE0564"/>
    <w:rsid w:val="00BE3D5A"/>
    <w:rsid w:val="00BF1FE8"/>
    <w:rsid w:val="00C2067D"/>
    <w:rsid w:val="00C4775F"/>
    <w:rsid w:val="00C525BF"/>
    <w:rsid w:val="00C64262"/>
    <w:rsid w:val="00C8164D"/>
    <w:rsid w:val="00C918A5"/>
    <w:rsid w:val="00CA2D19"/>
    <w:rsid w:val="00CA4A61"/>
    <w:rsid w:val="00CA6E6A"/>
    <w:rsid w:val="00CC2247"/>
    <w:rsid w:val="00CC657F"/>
    <w:rsid w:val="00CD030E"/>
    <w:rsid w:val="00CD4B8B"/>
    <w:rsid w:val="00CE7F5F"/>
    <w:rsid w:val="00D10718"/>
    <w:rsid w:val="00D1103F"/>
    <w:rsid w:val="00D17725"/>
    <w:rsid w:val="00D24704"/>
    <w:rsid w:val="00D34B00"/>
    <w:rsid w:val="00D44BB1"/>
    <w:rsid w:val="00D61E57"/>
    <w:rsid w:val="00D62B99"/>
    <w:rsid w:val="00D7775C"/>
    <w:rsid w:val="00DA7D83"/>
    <w:rsid w:val="00DF3826"/>
    <w:rsid w:val="00E000C9"/>
    <w:rsid w:val="00E17A39"/>
    <w:rsid w:val="00E22774"/>
    <w:rsid w:val="00E2571E"/>
    <w:rsid w:val="00E3148C"/>
    <w:rsid w:val="00E52B6B"/>
    <w:rsid w:val="00E62180"/>
    <w:rsid w:val="00E6389E"/>
    <w:rsid w:val="00E659AC"/>
    <w:rsid w:val="00E73938"/>
    <w:rsid w:val="00EA2D76"/>
    <w:rsid w:val="00EC5B1C"/>
    <w:rsid w:val="00EC7CF1"/>
    <w:rsid w:val="00ED3E66"/>
    <w:rsid w:val="00EE3A68"/>
    <w:rsid w:val="00F253D7"/>
    <w:rsid w:val="00F258FF"/>
    <w:rsid w:val="00F414E1"/>
    <w:rsid w:val="00F476EF"/>
    <w:rsid w:val="00F51340"/>
    <w:rsid w:val="00F52D99"/>
    <w:rsid w:val="00F70E5A"/>
    <w:rsid w:val="00F71968"/>
    <w:rsid w:val="00F74B01"/>
    <w:rsid w:val="00F83098"/>
    <w:rsid w:val="00FD44A5"/>
    <w:rsid w:val="00FD75EB"/>
    <w:rsid w:val="00FE25C6"/>
    <w:rsid w:val="00FE357A"/>
    <w:rsid w:val="00FE56A8"/>
    <w:rsid w:val="00FE597E"/>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9A75"/>
  <w15:docId w15:val="{5F28E009-9CE8-4C1F-AD0F-66D950D0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A61"/>
    <w:pPr>
      <w:widowControl w:val="0"/>
      <w:autoSpaceDE w:val="0"/>
      <w:autoSpaceDN w:val="0"/>
      <w:adjustRightInd w:val="0"/>
      <w:spacing w:after="0" w:line="240" w:lineRule="auto"/>
    </w:pPr>
    <w:rPr>
      <w:rFonts w:eastAsiaTheme="minorEastAsia"/>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A4A61"/>
  </w:style>
  <w:style w:type="character" w:customStyle="1" w:styleId="Hypertext">
    <w:name w:val="Hypertext"/>
    <w:uiPriority w:val="99"/>
    <w:rsid w:val="00CA4A61"/>
    <w:rPr>
      <w:color w:val="0000FF"/>
      <w:u w:val="single"/>
    </w:rPr>
  </w:style>
  <w:style w:type="character" w:styleId="Hyperlink">
    <w:name w:val="Hyperlink"/>
    <w:basedOn w:val="DefaultParagraphFont"/>
    <w:uiPriority w:val="99"/>
    <w:unhideWhenUsed/>
    <w:rsid w:val="00CA4A61"/>
    <w:rPr>
      <w:color w:val="0000FF" w:themeColor="hyperlink"/>
      <w:u w:val="single"/>
    </w:rPr>
  </w:style>
  <w:style w:type="paragraph" w:styleId="FootnoteText">
    <w:name w:val="footnote text"/>
    <w:basedOn w:val="Normal"/>
    <w:link w:val="FootnoteTextChar"/>
    <w:uiPriority w:val="99"/>
    <w:semiHidden/>
    <w:unhideWhenUsed/>
    <w:rsid w:val="00CA4A61"/>
    <w:rPr>
      <w:sz w:val="20"/>
      <w:szCs w:val="20"/>
    </w:rPr>
  </w:style>
  <w:style w:type="character" w:customStyle="1" w:styleId="FootnoteTextChar">
    <w:name w:val="Footnote Text Char"/>
    <w:basedOn w:val="DefaultParagraphFont"/>
    <w:link w:val="FootnoteText"/>
    <w:uiPriority w:val="99"/>
    <w:semiHidden/>
    <w:rsid w:val="00CA4A61"/>
    <w:rPr>
      <w:rFonts w:eastAsiaTheme="minorEastAsia"/>
      <w:color w:val="auto"/>
      <w:sz w:val="20"/>
      <w:szCs w:val="20"/>
    </w:rPr>
  </w:style>
  <w:style w:type="paragraph" w:styleId="BalloonText">
    <w:name w:val="Balloon Text"/>
    <w:basedOn w:val="Normal"/>
    <w:link w:val="BalloonTextChar"/>
    <w:uiPriority w:val="99"/>
    <w:semiHidden/>
    <w:unhideWhenUsed/>
    <w:rsid w:val="00CA4A61"/>
    <w:rPr>
      <w:rFonts w:ascii="Tahoma" w:hAnsi="Tahoma" w:cs="Tahoma"/>
      <w:sz w:val="16"/>
      <w:szCs w:val="16"/>
    </w:rPr>
  </w:style>
  <w:style w:type="character" w:customStyle="1" w:styleId="BalloonTextChar">
    <w:name w:val="Balloon Text Char"/>
    <w:basedOn w:val="DefaultParagraphFont"/>
    <w:link w:val="BalloonText"/>
    <w:uiPriority w:val="99"/>
    <w:semiHidden/>
    <w:rsid w:val="00CA4A61"/>
    <w:rPr>
      <w:rFonts w:ascii="Tahoma" w:eastAsiaTheme="minorEastAsia" w:hAnsi="Tahoma" w:cs="Tahoma"/>
      <w:color w:val="auto"/>
      <w:sz w:val="16"/>
      <w:szCs w:val="16"/>
    </w:rPr>
  </w:style>
  <w:style w:type="paragraph" w:styleId="ListParagraph">
    <w:name w:val="List Paragraph"/>
    <w:basedOn w:val="Normal"/>
    <w:uiPriority w:val="34"/>
    <w:qFormat/>
    <w:rsid w:val="00A34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800613">
      <w:bodyDiv w:val="1"/>
      <w:marLeft w:val="0"/>
      <w:marRight w:val="0"/>
      <w:marTop w:val="0"/>
      <w:marBottom w:val="0"/>
      <w:divBdr>
        <w:top w:val="none" w:sz="0" w:space="0" w:color="auto"/>
        <w:left w:val="none" w:sz="0" w:space="0" w:color="auto"/>
        <w:bottom w:val="none" w:sz="0" w:space="0" w:color="auto"/>
        <w:right w:val="none" w:sz="0" w:space="0" w:color="auto"/>
      </w:divBdr>
    </w:div>
    <w:div w:id="200600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rosenberg@flsd.us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District Courts</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Saiidia Johnson</dc:creator>
  <cp:lastModifiedBy>Melanie Richardson</cp:lastModifiedBy>
  <cp:revision>4</cp:revision>
  <cp:lastPrinted>2019-01-22T20:07:00Z</cp:lastPrinted>
  <dcterms:created xsi:type="dcterms:W3CDTF">2019-02-01T16:54:00Z</dcterms:created>
  <dcterms:modified xsi:type="dcterms:W3CDTF">2019-02-04T16:23:00Z</dcterms:modified>
</cp:coreProperties>
</file>